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Novinky</w:t>
      </w:r>
      <w:r>
        <w:t xml:space="preserve"> </w:t>
      </w:r>
      <w:r>
        <w:t xml:space="preserve">a</w:t>
      </w:r>
      <w:r>
        <w:t xml:space="preserve"> </w:t>
      </w:r>
      <w:r>
        <w:t xml:space="preserve">možnosti</w:t>
      </w:r>
      <w:r>
        <w:t xml:space="preserve"> </w:t>
      </w:r>
      <w:r>
        <w:t xml:space="preserve">využití</w:t>
      </w:r>
      <w:r>
        <w:t xml:space="preserve"> </w:t>
      </w:r>
      <w:r>
        <w:t xml:space="preserve">IT</w:t>
      </w:r>
      <w:r>
        <w:t xml:space="preserve"> </w:t>
      </w:r>
      <w:r>
        <w:t xml:space="preserve">v</w:t>
      </w:r>
      <w:r>
        <w:t xml:space="preserve"> </w:t>
      </w:r>
      <w:r>
        <w:t xml:space="preserve">energetice</w:t>
      </w:r>
    </w:p>
    <w:p>
      <w:pPr>
        <w:pStyle w:val="Author"/>
      </w:pPr>
      <w:r>
        <w:t xml:space="preserve">Karel</w:t>
      </w:r>
      <w:r>
        <w:t xml:space="preserve"> </w:t>
      </w:r>
      <w:r>
        <w:t xml:space="preserve">Noháč</w:t>
      </w:r>
    </w:p>
    <w:p>
      <w:pPr>
        <w:pStyle w:val="Date"/>
      </w:pPr>
      <w:r>
        <w:t xml:space="preserve">Leden</w:t>
      </w:r>
      <w:r>
        <w:t xml:space="preserve"> </w:t>
      </w:r>
      <w:r>
        <w:t xml:space="preserve">2020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"1-2"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obsah-prezentace"/>
      <w:r>
        <w:t xml:space="preserve">Obsah prezentace</w:t>
      </w:r>
      <w:bookmarkEnd w:id="20"/>
    </w:p>
    <w:p>
      <w:pPr>
        <w:numPr>
          <w:ilvl w:val="0"/>
          <w:numId w:val="1001"/>
        </w:numPr>
      </w:pPr>
      <w:r>
        <w:t xml:space="preserve">Historie a současnost využití IT v praxi</w:t>
      </w:r>
    </w:p>
    <w:p>
      <w:pPr>
        <w:numPr>
          <w:ilvl w:val="0"/>
          <w:numId w:val="1001"/>
        </w:numPr>
      </w:pPr>
      <w:r>
        <w:t xml:space="preserve">Konsolidace HW a SW v IT</w:t>
      </w:r>
    </w:p>
    <w:p>
      <w:pPr>
        <w:numPr>
          <w:ilvl w:val="0"/>
          <w:numId w:val="1001"/>
        </w:numPr>
      </w:pPr>
      <w:r>
        <w:t xml:space="preserve">Nové možnosti pro energetiku a elektroenergetiku</w:t>
      </w:r>
    </w:p>
    <w:p>
      <w:pPr>
        <w:numPr>
          <w:ilvl w:val="0"/>
          <w:numId w:val="1001"/>
        </w:numPr>
      </w:pPr>
      <w:r>
        <w:t xml:space="preserve">Zpracování textů a dalších dokumentací</w:t>
      </w:r>
      <w:r>
        <w:t xml:space="preserve"> </w:t>
      </w:r>
      <w:r>
        <w:rPr>
          <w:i/>
        </w:rPr>
        <w:t xml:space="preserve">snadno</w:t>
      </w:r>
    </w:p>
    <w:p>
      <w:pPr>
        <w:pStyle w:val="Heading1"/>
      </w:pPr>
      <w:bookmarkStart w:id="21" w:name="historie-a-současnost-využití-it-v-praxi"/>
      <w:r>
        <w:t xml:space="preserve">Historie a současnost využití IT v praxi</w:t>
      </w:r>
      <w:bookmarkEnd w:id="21"/>
    </w:p>
    <w:p>
      <w:pPr>
        <w:numPr>
          <w:ilvl w:val="0"/>
          <w:numId w:val="1002"/>
        </w:numPr>
      </w:pPr>
      <w:r>
        <w:t xml:space="preserve">Od extrémní specializace HW a nezbytnosti individuálně</w:t>
      </w:r>
      <w:r>
        <w:t xml:space="preserve"> </w:t>
      </w:r>
      <w:r>
        <w:t xml:space="preserve">implementovat HW</w:t>
      </w:r>
    </w:p>
    <w:p>
      <w:pPr>
        <w:numPr>
          <w:ilvl w:val="0"/>
          <w:numId w:val="1000"/>
        </w:numPr>
      </w:pPr>
      <w:r>
        <w:t xml:space="preserve">až po …</w:t>
      </w:r>
    </w:p>
    <w:p>
      <w:pPr>
        <w:numPr>
          <w:ilvl w:val="0"/>
          <w:numId w:val="1002"/>
        </w:numPr>
      </w:pPr>
      <w:r>
        <w:t xml:space="preserve">Kompletní sjedocení HW okolo několika platforem</w:t>
      </w:r>
      <w:r>
        <w:t xml:space="preserve"> </w:t>
      </w:r>
      <w:r>
        <w:t xml:space="preserve">se společnými operačními systémy</w:t>
      </w:r>
    </w:p>
    <w:p>
      <w:pPr>
        <w:numPr>
          <w:ilvl w:val="0"/>
          <w:numId w:val="1002"/>
        </w:numPr>
      </w:pPr>
      <w:r>
        <w:t xml:space="preserve">Unifikovaný uživatelský přístup</w:t>
      </w:r>
    </w:p>
    <w:p>
      <w:pPr>
        <w:pStyle w:val="Heading1"/>
      </w:pPr>
      <w:bookmarkStart w:id="22" w:name="X7d6089a6ce3f13b629586e6cad69b128d6f83c8"/>
      <w:r>
        <w:t xml:space="preserve">Historie a současnost využití IT v praxi</w:t>
      </w:r>
      <w:bookmarkEnd w:id="22"/>
    </w:p>
    <w:p>
      <w:pPr>
        <w:numPr>
          <w:ilvl w:val="0"/>
          <w:numId w:val="1003"/>
        </w:numPr>
      </w:pPr>
      <w:r>
        <w:t xml:space="preserve">Opakující se úlohy:</w:t>
      </w:r>
    </w:p>
    <w:p>
      <w:pPr>
        <w:numPr>
          <w:ilvl w:val="1"/>
          <w:numId w:val="1004"/>
        </w:numPr>
      </w:pPr>
      <w:r>
        <w:t xml:space="preserve">Provádění vědeckotechnických a ekonomických výpočtů</w:t>
      </w:r>
    </w:p>
    <w:p>
      <w:pPr>
        <w:numPr>
          <w:ilvl w:val="1"/>
          <w:numId w:val="1004"/>
        </w:numPr>
      </w:pPr>
      <w:r>
        <w:t xml:space="preserve">Zpracování a prohledávání rozsáhlých databází</w:t>
      </w:r>
    </w:p>
    <w:p>
      <w:pPr>
        <w:numPr>
          <w:ilvl w:val="1"/>
          <w:numId w:val="1004"/>
        </w:numPr>
      </w:pPr>
      <w:r>
        <w:t xml:space="preserve">Vytváření elektronických dokumentů</w:t>
      </w:r>
    </w:p>
    <w:p>
      <w:pPr>
        <w:numPr>
          <w:ilvl w:val="1"/>
          <w:numId w:val="1004"/>
        </w:numPr>
      </w:pPr>
      <w:r>
        <w:t xml:space="preserve">Řízení externího HW</w:t>
      </w:r>
    </w:p>
    <w:p>
      <w:pPr>
        <w:numPr>
          <w:ilvl w:val="0"/>
          <w:numId w:val="1003"/>
        </w:numPr>
      </w:pPr>
      <w:r>
        <w:t xml:space="preserve">Nové úkoly</w:t>
      </w:r>
    </w:p>
    <w:p>
      <w:pPr>
        <w:numPr>
          <w:ilvl w:val="1"/>
          <w:numId w:val="1005"/>
        </w:numPr>
      </w:pPr>
      <w:r>
        <w:t xml:space="preserve">Zpracování multimédií</w:t>
      </w:r>
    </w:p>
    <w:p>
      <w:pPr>
        <w:numPr>
          <w:ilvl w:val="1"/>
          <w:numId w:val="1005"/>
        </w:numPr>
      </w:pPr>
      <w:r>
        <w:t xml:space="preserve">Transport informací, komunikace</w:t>
      </w:r>
    </w:p>
    <w:p>
      <w:pPr>
        <w:numPr>
          <w:ilvl w:val="1"/>
          <w:numId w:val="1005"/>
        </w:numPr>
      </w:pPr>
      <w:r>
        <w:t xml:space="preserve">Přístup k internetovým službám a Big Data</w:t>
      </w:r>
    </w:p>
    <w:p>
      <w:pPr>
        <w:pStyle w:val="Heading1"/>
      </w:pPr>
      <w:bookmarkStart w:id="23" w:name="konsolidace-hw-a-sw-v-it"/>
      <w:r>
        <w:t xml:space="preserve">Konsolidace HW a SW v IT</w:t>
      </w:r>
      <w:bookmarkEnd w:id="23"/>
    </w:p>
    <w:p>
      <w:pPr>
        <w:numPr>
          <w:ilvl w:val="0"/>
          <w:numId w:val="1006"/>
        </w:numPr>
      </w:pPr>
      <w:r>
        <w:t xml:space="preserve">HW a SW je</w:t>
      </w:r>
      <w:r>
        <w:t xml:space="preserve"> </w:t>
      </w:r>
      <w:r>
        <w:rPr>
          <w:i/>
        </w:rPr>
        <w:t xml:space="preserve">dostačující</w:t>
      </w:r>
      <w:r>
        <w:t xml:space="preserve"> </w:t>
      </w:r>
      <w:r>
        <w:t xml:space="preserve">pro standardní úkoly (kromě bezpečnosti)</w:t>
      </w:r>
    </w:p>
    <w:p>
      <w:pPr>
        <w:numPr>
          <w:ilvl w:val="1"/>
          <w:numId w:val="1007"/>
        </w:numPr>
      </w:pPr>
      <w:r>
        <w:t xml:space="preserve">Není nutné upgradovat pravidelně HW (kromě mobilních zařízení)</w:t>
      </w:r>
    </w:p>
    <w:p>
      <w:pPr>
        <w:numPr>
          <w:ilvl w:val="1"/>
          <w:numId w:val="1007"/>
        </w:numPr>
      </w:pPr>
      <w:r>
        <w:t xml:space="preserve">Lze pro většinu úloh používat kvalitní repasovaný HW</w:t>
      </w:r>
    </w:p>
    <w:p>
      <w:pPr>
        <w:numPr>
          <w:ilvl w:val="0"/>
          <w:numId w:val="1006"/>
        </w:numPr>
      </w:pPr>
      <w:r>
        <w:t xml:space="preserve">Možnosti Operačních systémů (OS) a aplikací se vyrovnávají</w:t>
      </w:r>
    </w:p>
    <w:p>
      <w:pPr>
        <w:numPr>
          <w:ilvl w:val="1"/>
          <w:numId w:val="1008"/>
        </w:numPr>
      </w:pPr>
      <w:r>
        <w:t xml:space="preserve">Vybavenost MS Windows Linux (Ubuntu, …), Apple OS, … jsou porovnatelné</w:t>
      </w:r>
    </w:p>
    <w:p>
      <w:pPr>
        <w:numPr>
          <w:ilvl w:val="1"/>
          <w:numId w:val="1008"/>
        </w:numPr>
      </w:pPr>
      <w:r>
        <w:t xml:space="preserve">Schopnosti aplikací pro běžné úlohy se srovnávají</w:t>
      </w:r>
    </w:p>
    <w:p>
      <w:pPr>
        <w:numPr>
          <w:ilvl w:val="1"/>
          <w:numId w:val="1008"/>
        </w:numPr>
      </w:pPr>
      <w:r>
        <w:t xml:space="preserve">Komerční a volná řešení jsou na podobné úrovni</w:t>
      </w:r>
    </w:p>
    <w:p>
      <w:pPr>
        <w:pStyle w:val="Heading1"/>
      </w:pPr>
      <w:bookmarkStart w:id="24" w:name="konsolidace-os"/>
      <w:r>
        <w:t xml:space="preserve">Konsolidace OS</w:t>
      </w:r>
      <w:bookmarkEnd w:id="24"/>
    </w:p>
    <w:p>
      <w:pPr>
        <w:numPr>
          <w:ilvl w:val="0"/>
          <w:numId w:val="1009"/>
        </w:numPr>
      </w:pPr>
      <w:r>
        <w:t xml:space="preserve">Aplikace lze spouštět v libovolném prostředí díky:</w:t>
      </w:r>
    </w:p>
    <w:p>
      <w:pPr>
        <w:numPr>
          <w:ilvl w:val="1"/>
          <w:numId w:val="1010"/>
        </w:numPr>
      </w:pPr>
      <w:r>
        <w:t xml:space="preserve">Virtualizace (Oracle VM VirtualBox, VMware Workstation Pro, DosBox, …)</w:t>
      </w:r>
    </w:p>
    <w:p>
      <w:pPr>
        <w:numPr>
          <w:ilvl w:val="1"/>
          <w:numId w:val="1010"/>
        </w:numPr>
      </w:pPr>
      <w:r>
        <w:t xml:space="preserve">Zapouzdření prostředí (container) pro aplikace (Docker, …)</w:t>
      </w:r>
      <w:r>
        <w:t xml:space="preserve"> </w:t>
      </w:r>
      <w:r>
        <w:t xml:space="preserve">pro bezproblémovou přenosnot bez instalace (portabilitu)</w:t>
      </w:r>
    </w:p>
    <w:p>
      <w:pPr>
        <w:numPr>
          <w:ilvl w:val="1"/>
          <w:numId w:val="1010"/>
        </w:numPr>
      </w:pPr>
      <w:r>
        <w:t xml:space="preserve">Implementace služeb jiného OS (Wine na LINUX, Windows Subsystem</w:t>
      </w:r>
      <w:r>
        <w:t xml:space="preserve"> </w:t>
      </w:r>
      <w:r>
        <w:t xml:space="preserve">for Linux (WSL) na Windows 10, …)</w:t>
      </w:r>
    </w:p>
    <w:p>
      <w:pPr>
        <w:numPr>
          <w:ilvl w:val="1"/>
          <w:numId w:val="1010"/>
        </w:numPr>
      </w:pPr>
      <w:r>
        <w:t xml:space="preserve">Vzdálený přístup k výpočetním a datovým zdrojům</w:t>
      </w:r>
    </w:p>
    <w:p>
      <w:pPr>
        <w:numPr>
          <w:ilvl w:val="0"/>
          <w:numId w:val="1009"/>
        </w:numPr>
      </w:pPr>
      <w:r>
        <w:t xml:space="preserve">Aplikace pracují ve virtuálním stroji, nebo cloudu:</w:t>
      </w:r>
    </w:p>
    <w:p>
      <w:pPr>
        <w:numPr>
          <w:ilvl w:val="1"/>
          <w:numId w:val="1011"/>
        </w:numPr>
      </w:pPr>
      <w:r>
        <w:t xml:space="preserve">JVM Java Virtual Machine</w:t>
      </w:r>
    </w:p>
    <w:p>
      <w:pPr>
        <w:numPr>
          <w:ilvl w:val="1"/>
          <w:numId w:val="1011"/>
        </w:numPr>
      </w:pPr>
      <w:r>
        <w:t xml:space="preserve">Cloudové aplikace a sdílení dat</w:t>
      </w:r>
    </w:p>
    <w:p>
      <w:pPr>
        <w:pStyle w:val="Heading1"/>
      </w:pPr>
      <w:bookmarkStart w:id="25" w:name="online-prostředí-cloud"/>
      <w:r>
        <w:t xml:space="preserve">Online prostředí (cloud)</w:t>
      </w:r>
      <w:bookmarkEnd w:id="25"/>
    </w:p>
    <w:p>
      <w:pPr>
        <w:numPr>
          <w:ilvl w:val="0"/>
          <w:numId w:val="1012"/>
        </w:numPr>
      </w:pPr>
      <w:r>
        <w:t xml:space="preserve">Sdílení dat</w:t>
      </w:r>
    </w:p>
    <w:p>
      <w:pPr>
        <w:numPr>
          <w:ilvl w:val="1"/>
          <w:numId w:val="1013"/>
        </w:numPr>
      </w:pPr>
      <w:r>
        <w:t xml:space="preserve">DropBox, MS One Drive, Google Drive, Disk Google, …</w:t>
      </w:r>
    </w:p>
    <w:p>
      <w:pPr>
        <w:numPr>
          <w:ilvl w:val="0"/>
          <w:numId w:val="1012"/>
        </w:numPr>
      </w:pPr>
      <w:r>
        <w:t xml:space="preserve">Aplikační kancelářská prostředí</w:t>
      </w:r>
    </w:p>
    <w:p>
      <w:pPr>
        <w:numPr>
          <w:ilvl w:val="1"/>
          <w:numId w:val="1014"/>
        </w:numPr>
      </w:pPr>
      <w:r>
        <w:t xml:space="preserve">MS Office 365, Google Apps - G Suite, Overleaf, …</w:t>
      </w:r>
    </w:p>
    <w:p>
      <w:pPr>
        <w:numPr>
          <w:ilvl w:val="0"/>
          <w:numId w:val="1012"/>
        </w:numPr>
      </w:pPr>
      <w:r>
        <w:t xml:space="preserve">Vývojová kolaborativní prostředí</w:t>
      </w:r>
    </w:p>
    <w:p>
      <w:pPr>
        <w:numPr>
          <w:ilvl w:val="1"/>
          <w:numId w:val="1015"/>
        </w:numPr>
      </w:pPr>
      <w:r>
        <w:t xml:space="preserve">GitHub, Google Cloud, …</w:t>
      </w:r>
    </w:p>
    <w:p>
      <w:pPr>
        <w:pStyle w:val="Heading1"/>
      </w:pPr>
      <w:bookmarkStart w:id="26" w:name="X3972dd57450b8e1c4f53c597594a0fa0b0bf7b7"/>
      <w:r>
        <w:t xml:space="preserve">Nové možnosti pro energetiku a elektroenergetiku 1</w:t>
      </w:r>
      <w:bookmarkEnd w:id="26"/>
    </w:p>
    <w:p>
      <w:pPr>
        <w:numPr>
          <w:ilvl w:val="0"/>
          <w:numId w:val="1016"/>
        </w:numPr>
      </w:pPr>
      <w:r>
        <w:t xml:space="preserve">Kancelářské práce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Tradiční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→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Alternativní současné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MS Word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LibreOffice Writer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MS Excel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LibreOffice Calc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MS Power Point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LibreOffice Impress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Corel Draw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InkScape</w:t>
            </w:r>
          </w:p>
        </w:tc>
      </w:tr>
    </w:tbl>
    <w:p>
      <w:pPr>
        <w:pStyle w:val="BodyText"/>
      </w:pPr>
      <w:r>
        <w:t xml:space="preserve">plus cloudová prostředí Google Apps, iWork</w:t>
      </w:r>
    </w:p>
    <w:p>
      <w:pPr>
        <w:pStyle w:val="Heading1"/>
      </w:pPr>
      <w:bookmarkStart w:id="27" w:name="Xc25a7bce452c435359f5e796d8b22c7867f9860"/>
      <w:r>
        <w:t xml:space="preserve">Nové možnosti pro energetiku a elektroenergetiku 2</w:t>
      </w:r>
      <w:bookmarkEnd w:id="27"/>
    </w:p>
    <w:p>
      <w:pPr>
        <w:numPr>
          <w:ilvl w:val="0"/>
          <w:numId w:val="1017"/>
        </w:numPr>
      </w:pPr>
      <w:r>
        <w:t xml:space="preserve">Vývojová prostředí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Tradiční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→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Alternativní současné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Turbo Pascal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Free Pascal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Delphi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Lazarus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C++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GNU C - GCC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Java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Python</w:t>
            </w:r>
          </w:p>
        </w:tc>
      </w:tr>
    </w:tbl>
    <w:p>
      <w:pPr>
        <w:pStyle w:val="Heading1"/>
      </w:pPr>
      <w:bookmarkStart w:id="28" w:name="Xd84a9c1fd680b11cdd4164d2ac8f7607171b44c"/>
      <w:r>
        <w:t xml:space="preserve">Nové možnosti pro energetiku a elektroenergetiku 3</w:t>
      </w:r>
      <w:bookmarkEnd w:id="28"/>
    </w:p>
    <w:p>
      <w:pPr>
        <w:numPr>
          <w:ilvl w:val="0"/>
          <w:numId w:val="1018"/>
        </w:numPr>
      </w:pPr>
      <w:r>
        <w:t xml:space="preserve">Všeobecná výpočetní prostředí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Tradiční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→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Alternativní současné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MATLAB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GNU Octave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Simulink, DYNAST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Open Modelica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Life Scripts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Jupyter notebooks</w:t>
            </w:r>
          </w:p>
        </w:tc>
      </w:tr>
    </w:tbl>
    <w:p>
      <w:pPr>
        <w:numPr>
          <w:ilvl w:val="0"/>
          <w:numId w:val="1019"/>
        </w:numPr>
      </w:pPr>
      <w:r>
        <w:t xml:space="preserve">Výpočty elektrických sítí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Tradiční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→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Alternativní současné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EMTP - ATP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PSCAD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PSS®E, MODES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PSAT, OpenIPSL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…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…</w:t>
            </w:r>
          </w:p>
        </w:tc>
      </w:tr>
    </w:tbl>
    <w:p>
      <w:pPr>
        <w:pStyle w:val="Heading1"/>
      </w:pPr>
      <w:bookmarkStart w:id="29" w:name="X7a81230a74cfecda2c3989ed72ec1d50c1a6151"/>
      <w:r>
        <w:t xml:space="preserve">Zpracování textů a dalších dokumentací</w:t>
      </w:r>
      <w:r>
        <w:t xml:space="preserve"> </w:t>
      </w:r>
      <w:r>
        <w:rPr>
          <w:i/>
        </w:rPr>
        <w:t xml:space="preserve">snadno</w:t>
      </w:r>
      <w:bookmarkEnd w:id="29"/>
    </w:p>
    <w:p>
      <w:pPr>
        <w:numPr>
          <w:ilvl w:val="0"/>
          <w:numId w:val="1020"/>
        </w:numPr>
      </w:pPr>
      <w:r>
        <w:t xml:space="preserve">Systematicky nezbytné je oddělení</w:t>
      </w:r>
      <w:r>
        <w:t xml:space="preserve"> </w:t>
      </w:r>
      <w:r>
        <w:rPr>
          <w:i/>
        </w:rPr>
        <w:t xml:space="preserve">obsahu</w:t>
      </w:r>
      <w:r>
        <w:t xml:space="preserve"> </w:t>
      </w:r>
      <w:r>
        <w:t xml:space="preserve">a</w:t>
      </w:r>
      <w:r>
        <w:t xml:space="preserve"> </w:t>
      </w:r>
      <w:r>
        <w:rPr>
          <w:i/>
        </w:rPr>
        <w:t xml:space="preserve">formy</w:t>
      </w:r>
    </w:p>
    <w:p>
      <w:pPr>
        <w:numPr>
          <w:ilvl w:val="0"/>
          <w:numId w:val="1020"/>
        </w:numPr>
      </w:pPr>
      <w:r>
        <w:t xml:space="preserve">Transparentní kontrola bez skrytých či automaticky</w:t>
      </w:r>
      <w:r>
        <w:t xml:space="preserve"> </w:t>
      </w:r>
      <w:r>
        <w:t xml:space="preserve">“</w:t>
      </w:r>
      <w:r>
        <w:t xml:space="preserve">chytře</w:t>
      </w:r>
      <w:r>
        <w:t xml:space="preserve">”</w:t>
      </w:r>
      <w:r>
        <w:t xml:space="preserve"> </w:t>
      </w:r>
      <w:r>
        <w:t xml:space="preserve">přidávaných atributů</w:t>
      </w:r>
    </w:p>
    <w:p>
      <w:pPr>
        <w:numPr>
          <w:ilvl w:val="0"/>
          <w:numId w:val="1020"/>
        </w:numPr>
      </w:pPr>
      <w:r>
        <w:t xml:space="preserve">Možnost vytvářet současně dokumenty pro tisk, www, prezentace,</w:t>
      </w:r>
      <w:r>
        <w:t xml:space="preserve"> </w:t>
      </w:r>
      <w:r>
        <w:t xml:space="preserve">elektronické knihy, výukové interaktivní materiály, …</w:t>
      </w:r>
    </w:p>
    <w:p>
      <w:pPr>
        <w:numPr>
          <w:ilvl w:val="0"/>
          <w:numId w:val="1020"/>
        </w:numPr>
      </w:pPr>
      <w:r>
        <w:t xml:space="preserve">Týmová kooperativní spolupráce</w:t>
      </w:r>
    </w:p>
    <w:p>
      <w:pPr>
        <w:numPr>
          <w:ilvl w:val="0"/>
          <w:numId w:val="1020"/>
        </w:numPr>
      </w:pPr>
      <w:r>
        <w:t xml:space="preserve">Neomezené možnosti formátování písma, odstavců, tabulek, grafiky</w:t>
      </w:r>
    </w:p>
    <w:p>
      <w:pPr>
        <w:pStyle w:val="Heading1"/>
      </w:pPr>
      <w:bookmarkStart w:id="30" w:name="X66d154f158d0ca937405600174fe18dc2c0feab"/>
      <w:r>
        <w:t xml:space="preserve">Zpracování textů a dalších dokumentací</w:t>
      </w:r>
      <w:r>
        <w:t xml:space="preserve"> </w:t>
      </w:r>
      <w:r>
        <w:rPr>
          <w:i/>
        </w:rPr>
        <w:t xml:space="preserve">snadno</w:t>
      </w:r>
      <w:bookmarkEnd w:id="30"/>
    </w:p>
    <w:p>
      <w:pPr>
        <w:numPr>
          <w:ilvl w:val="0"/>
          <w:numId w:val="1021"/>
        </w:numPr>
      </w:pPr>
      <w:r>
        <w:t xml:space="preserve">Automatického zpracování číslování obrázků, tabulek, rovnic, rejstříků,</w:t>
      </w:r>
      <w:r>
        <w:t xml:space="preserve"> </w:t>
      </w:r>
      <w:r>
        <w:t xml:space="preserve">veličin, seznamů literatury, poznámek pod čarou</w:t>
      </w:r>
    </w:p>
    <w:p>
      <w:pPr>
        <w:numPr>
          <w:ilvl w:val="0"/>
          <w:numId w:val="1021"/>
        </w:numPr>
      </w:pPr>
      <w:r>
        <w:t xml:space="preserve">Křížové odkazy na veškeré objekty</w:t>
      </w:r>
    </w:p>
    <w:p>
      <w:pPr>
        <w:numPr>
          <w:ilvl w:val="0"/>
          <w:numId w:val="1021"/>
        </w:numPr>
      </w:pPr>
      <w:r>
        <w:t xml:space="preserve">Schopnost definování stylů a provádění hromadných změn</w:t>
      </w:r>
    </w:p>
    <w:p>
      <w:pPr>
        <w:numPr>
          <w:ilvl w:val="0"/>
          <w:numId w:val="1021"/>
        </w:numPr>
      </w:pPr>
      <w:r>
        <w:t xml:space="preserve">Nekompromisně kvalitní zpracování matematických vztahů</w:t>
      </w:r>
    </w:p>
    <w:p>
      <w:pPr>
        <w:numPr>
          <w:ilvl w:val="0"/>
          <w:numId w:val="1021"/>
        </w:numPr>
      </w:pPr>
      <w:r>
        <w:t xml:space="preserve">Podpora českého jazyka</w:t>
      </w:r>
    </w:p>
    <w:p>
      <w:pPr>
        <w:numPr>
          <w:ilvl w:val="0"/>
          <w:numId w:val="1021"/>
        </w:numPr>
      </w:pPr>
      <w:r>
        <w:t xml:space="preserve">Kompatibilita se šablonami konferencí a časopisů</w:t>
      </w:r>
    </w:p>
    <w:p>
      <w:pPr>
        <w:pStyle w:val="Heading1"/>
      </w:pPr>
      <w:bookmarkStart w:id="31" w:name="nástroje-na-zpracování-dokumentů"/>
      <w:r>
        <w:t xml:space="preserve">Nástroje na zpracování dokumentů</w:t>
      </w:r>
      <w:bookmarkEnd w:id="31"/>
    </w:p>
    <w:p>
      <w:pPr>
        <w:numPr>
          <w:ilvl w:val="0"/>
          <w:numId w:val="1022"/>
        </w:numPr>
      </w:pPr>
      <w:r>
        <w:t xml:space="preserve">Profesionální nástroje:</w:t>
      </w:r>
    </w:p>
    <w:p>
      <w:pPr>
        <w:numPr>
          <w:ilvl w:val="1"/>
          <w:numId w:val="1023"/>
        </w:numPr>
      </w:pPr>
      <w:r>
        <w:t xml:space="preserve">TeX, LaTeX</w:t>
      </w:r>
    </w:p>
    <w:p>
      <w:pPr>
        <w:numPr>
          <w:ilvl w:val="1"/>
          <w:numId w:val="1023"/>
        </w:numPr>
      </w:pPr>
      <w:r>
        <w:t xml:space="preserve">Adobe InDesign</w:t>
      </w:r>
    </w:p>
    <w:p>
      <w:pPr>
        <w:numPr>
          <w:ilvl w:val="1"/>
          <w:numId w:val="1023"/>
        </w:numPr>
      </w:pPr>
      <w:r>
        <w:t xml:space="preserve">Aldus/Adobe PageMaker</w:t>
      </w:r>
    </w:p>
    <w:p>
      <w:pPr>
        <w:numPr>
          <w:ilvl w:val="1"/>
          <w:numId w:val="1023"/>
        </w:numPr>
      </w:pPr>
      <w:r>
        <w:rPr>
          <w:b/>
        </w:rPr>
        <w:t xml:space="preserve">Jsou nekompromisní, ale náročné na instalaci a používání</w:t>
      </w:r>
    </w:p>
    <w:p>
      <w:pPr>
        <w:numPr>
          <w:ilvl w:val="0"/>
          <w:numId w:val="1022"/>
        </w:numPr>
      </w:pPr>
      <w:r>
        <w:t xml:space="preserve">Odlehčené značkovací jazyky:</w:t>
      </w:r>
    </w:p>
    <w:p>
      <w:pPr>
        <w:numPr>
          <w:ilvl w:val="1"/>
          <w:numId w:val="1024"/>
        </w:numPr>
      </w:pPr>
      <w:r>
        <w:t xml:space="preserve">Pro úpravu prostého textu a jeho následný převod na formátovaný text</w:t>
      </w:r>
    </w:p>
    <w:p>
      <w:pPr>
        <w:numPr>
          <w:ilvl w:val="1"/>
          <w:numId w:val="1024"/>
        </w:numPr>
      </w:pPr>
      <w:r>
        <w:t xml:space="preserve">Možnosti omezené, ale podporují jednotnost zpracování</w:t>
      </w:r>
    </w:p>
    <w:p>
      <w:pPr>
        <w:numPr>
          <w:ilvl w:val="1"/>
          <w:numId w:val="1024"/>
        </w:numPr>
      </w:pPr>
      <w:r>
        <w:rPr>
          <w:b/>
        </w:rPr>
        <w:t xml:space="preserve">Jednoduché, nenáročné a přesto předčí typicky používané aplikace typu MS-Word</w:t>
      </w:r>
    </w:p>
    <w:p>
      <w:pPr>
        <w:pStyle w:val="Heading1"/>
      </w:pPr>
      <w:bookmarkStart w:id="32" w:name="X326d45875340dcf1d4559b96d35cc92aff07680"/>
      <w:r>
        <w:t xml:space="preserve">Odlehčené značkovací jazyky typu MarkDown</w:t>
      </w:r>
      <w:bookmarkEnd w:id="32"/>
    </w:p>
    <w:p>
      <w:pPr>
        <w:pStyle w:val="Heading2"/>
      </w:pPr>
      <w:bookmarkStart w:id="33" w:name="formátování-písma"/>
      <w:r>
        <w:t xml:space="preserve">Formátování písma:</w:t>
      </w:r>
      <w:bookmarkEnd w:id="33"/>
    </w:p>
    <w:p>
      <w:pPr>
        <w:pStyle w:val="FirstParagraph"/>
      </w:pPr>
      <w:r>
        <w:rPr>
          <w:i/>
        </w:rPr>
        <w:t xml:space="preserve">šikmo</w:t>
      </w:r>
      <w:r>
        <w:t xml:space="preserve">,</w:t>
      </w:r>
      <w:r>
        <w:t xml:space="preserve"> </w:t>
      </w:r>
      <w:r>
        <w:rPr>
          <w:b/>
        </w:rPr>
        <w:t xml:space="preserve">tučně</w:t>
      </w:r>
      <w:r>
        <w:t xml:space="preserve">,</w:t>
      </w:r>
      <w:r>
        <w:t xml:space="preserve"> </w:t>
      </w:r>
      <w:r>
        <w:rPr>
          <w:rStyle w:val="VerbatimChar"/>
        </w:rPr>
        <w:t xml:space="preserve">zdrojový text</w:t>
      </w:r>
      <w:r>
        <w:t xml:space="preserve">,</w:t>
      </w:r>
      <w:r>
        <w:t xml:space="preserve"> </w:t>
      </w:r>
      <w:r>
        <w:rPr>
          <w:strike/>
        </w:rPr>
        <w:t xml:space="preserve">přeškrtnuté</w:t>
      </w:r>
    </w:p>
    <w:p>
      <w:pPr>
        <w:pStyle w:val="Heading3"/>
      </w:pPr>
      <w:bookmarkStart w:id="34" w:name="markdown"/>
      <w:r>
        <w:t xml:space="preserve">Markdown</w:t>
      </w:r>
      <w:bookmarkEnd w:id="34"/>
    </w:p>
    <w:p>
      <w:pPr>
        <w:pStyle w:val="SourceCode"/>
      </w:pPr>
      <w:r>
        <w:rPr>
          <w:rStyle w:val="VerbatimChar"/>
        </w:rPr>
        <w:t xml:space="preserve">*šikmo*, **tučně**, `zdrojový text`, ~~přeškrtnuté~~</w:t>
      </w:r>
    </w:p>
    <w:p>
      <w:pPr>
        <w:pStyle w:val="Heading3"/>
      </w:pPr>
      <w:bookmarkStart w:id="35" w:name="www---html"/>
      <w:r>
        <w:t xml:space="preserve">WWW - HTML</w:t>
      </w:r>
      <w:bookmarkEnd w:id="35"/>
    </w:p>
    <w:p>
      <w:pPr>
        <w:pStyle w:val="SourceCode"/>
      </w:pPr>
      <w:r>
        <w:rPr>
          <w:rStyle w:val="VerbatimChar"/>
        </w:rPr>
        <w:t xml:space="preserve">&lt;p&gt;&lt;em&gt;šikmo&lt;/em&gt;, &lt;strong&gt;tučně&lt;/strong&gt;, </w:t>
      </w:r>
      <w:r>
        <w:br/>
      </w:r>
      <w:r>
        <w:rPr>
          <w:rStyle w:val="VerbatimChar"/>
        </w:rPr>
        <w:t xml:space="preserve">&lt;code&gt;zdrojový text&lt;/code&gt;, &lt;del&gt;přeškrtnuté&lt;/del&gt;&lt;/p&gt;</w:t>
      </w:r>
    </w:p>
    <w:p>
      <w:pPr>
        <w:pStyle w:val="Heading3"/>
      </w:pPr>
      <w:bookmarkStart w:id="36" w:name="pdf---latex"/>
      <w:r>
        <w:t xml:space="preserve">Pdf - Latex</w:t>
      </w:r>
      <w:bookmarkEnd w:id="36"/>
    </w:p>
    <w:p>
      <w:pPr>
        <w:pStyle w:val="SourceCode"/>
      </w:pPr>
      <w:r>
        <w:rPr>
          <w:rStyle w:val="VerbatimChar"/>
        </w:rPr>
        <w:t xml:space="preserve">\emph{šikmo}, \textbf{tučně}, \texttt{zdrojový\ text},</w:t>
      </w:r>
      <w:r>
        <w:br/>
      </w:r>
      <w:r>
        <w:rPr>
          <w:rStyle w:val="VerbatimChar"/>
        </w:rPr>
        <w:t xml:space="preserve">\sout{přeškrtnuté}</w:t>
      </w:r>
    </w:p>
    <w:p>
      <w:pPr>
        <w:pStyle w:val="Heading1"/>
      </w:pPr>
      <w:bookmarkStart w:id="37" w:name="markdown---formátování-odstavců"/>
      <w:r>
        <w:t xml:space="preserve">MarkDown - Formátování odstavců</w:t>
      </w:r>
      <w:bookmarkEnd w:id="37"/>
    </w:p>
    <w:p>
      <w:pPr>
        <w:pStyle w:val="SourceCode"/>
      </w:pPr>
      <w:r>
        <w:rPr>
          <w:rStyle w:val="VerbatimChar"/>
        </w:rPr>
        <w:t xml:space="preserve">### Nadpis 3</w:t>
      </w:r>
      <w:r>
        <w:br/>
      </w:r>
      <w:r>
        <w:rPr>
          <w:rStyle w:val="VerbatimChar"/>
        </w:rPr>
        <w:t xml:space="preserve">+:-----------+:-----------+:----------------+</w:t>
      </w:r>
      <w:r>
        <w:br/>
      </w:r>
      <w:r>
        <w:rPr>
          <w:rStyle w:val="VerbatimChar"/>
        </w:rPr>
        <w:t xml:space="preserve">| - seznam 1 | 1. položka | - [ ] úkol 1    |</w:t>
      </w:r>
      <w:r>
        <w:br/>
      </w:r>
      <w:r>
        <w:rPr>
          <w:rStyle w:val="VerbatimChar"/>
        </w:rPr>
        <w:t xml:space="preserve">| - seznam 2 | 2. položka | - [x] úkol 2    |</w:t>
      </w:r>
      <w:r>
        <w:br/>
      </w:r>
      <w:r>
        <w:rPr>
          <w:rStyle w:val="VerbatimChar"/>
        </w:rPr>
        <w:t xml:space="preserve">+------------+------------+-----------------+</w:t>
      </w:r>
      <w:r>
        <w:br/>
      </w:r>
      <w:r>
        <w:rPr>
          <w:rStyle w:val="VerbatimChar"/>
        </w:rPr>
        <w:t xml:space="preserve">| &gt; citace   | `kód`      | rovnice $e^\pi$ |</w:t>
      </w:r>
      <w:r>
        <w:br/>
      </w:r>
      <w:r>
        <w:rPr>
          <w:rStyle w:val="VerbatimChar"/>
        </w:rPr>
        <w:t xml:space="preserve">+------------+------------+-----------------+</w:t>
      </w:r>
    </w:p>
    <w:p>
      <w:pPr>
        <w:pStyle w:val="Heading3"/>
      </w:pPr>
      <w:bookmarkStart w:id="38" w:name="nadpis-3"/>
      <w:r>
        <w:t xml:space="preserve">Nadpis 3</w:t>
      </w:r>
      <w:bookmarkEnd w:id="38"/>
    </w:p>
    <w:tbl>
      <w:tblPr>
        <w:tblStyle w:val="Table"/>
        <w:tblW w:type="pct" w:w="4027.777777777778"/>
        <w:tblLook w:firstRow="0"/>
      </w:tblPr>
      <w:tblGrid>
        <w:gridCol w:w="2200"/>
        <w:gridCol w:w="2090"/>
        <w:gridCol w:w="2090"/>
      </w:tblGrid>
      <w:tr>
        <w:tc>
          <w:p>
            <w:pPr>
              <w:numPr>
                <w:ilvl w:val="0"/>
                <w:numId w:val="1025"/>
              </w:numPr>
              <w:pStyle w:val="Compact"/>
              <w:jc w:val="left"/>
            </w:pPr>
            <w:r>
              <w:t xml:space="preserve">seznam</w:t>
            </w:r>
          </w:p>
          <w:p>
            <w:pPr>
              <w:numPr>
                <w:ilvl w:val="0"/>
                <w:numId w:val="1025"/>
              </w:numPr>
              <w:pStyle w:val="Compact"/>
              <w:jc w:val="left"/>
            </w:pPr>
            <w:r>
              <w:t xml:space="preserve">seznam</w:t>
            </w:r>
          </w:p>
        </w:tc>
        <w:tc>
          <w:p>
            <w:pPr>
              <w:numPr>
                <w:ilvl w:val="0"/>
                <w:numId w:val="1026"/>
              </w:numPr>
              <w:pStyle w:val="Compact"/>
              <w:jc w:val="left"/>
            </w:pPr>
            <w:r>
              <w:t xml:space="preserve">položka</w:t>
            </w:r>
          </w:p>
          <w:p>
            <w:pPr>
              <w:numPr>
                <w:ilvl w:val="0"/>
                <w:numId w:val="1026"/>
              </w:numPr>
              <w:pStyle w:val="Compact"/>
              <w:jc w:val="left"/>
            </w:pPr>
            <w:r>
              <w:t xml:space="preserve">položka</w:t>
            </w:r>
          </w:p>
        </w:tc>
        <w:tc>
          <w:p>
            <w:pPr>
              <w:numPr>
                <w:ilvl w:val="0"/>
                <w:numId w:val="1027"/>
              </w:numPr>
              <w:pStyle w:val="Compact"/>
              <w:jc w:val="left"/>
            </w:pPr>
            <w:r>
              <w:t xml:space="preserve">☐ úkol 1</w:t>
            </w:r>
          </w:p>
          <w:p>
            <w:pPr>
              <w:numPr>
                <w:ilvl w:val="0"/>
                <w:numId w:val="1027"/>
              </w:numPr>
              <w:pStyle w:val="Compact"/>
              <w:jc w:val="left"/>
            </w:pPr>
            <w:r>
              <w:t xml:space="preserve">☒ úkol 2</w:t>
            </w:r>
          </w:p>
        </w:tc>
      </w:tr>
      <w:tr>
        <w:tc>
          <w:p>
            <w:pPr>
              <w:pStyle w:val="BlockText"/>
              <w:jc w:val="left"/>
            </w:pPr>
            <w:r>
              <w:t xml:space="preserve">citace</w:t>
            </w:r>
          </w:p>
        </w:tc>
        <w:tc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kód</w:t>
            </w:r>
          </w:p>
        </w:tc>
        <w:tc>
          <w:p>
            <w:pPr>
              <w:pStyle w:val="Compact"/>
              <w:jc w:val="left"/>
            </w:pPr>
            <w:r>
              <w:t xml:space="preserve">rovnice</w:t>
            </w:r>
            <w:r>
              <w:t xml:space="preserve"> </w:t>
            </w:r>
            <m:oMath>
              <m:sSup>
                <m:e>
                  <m:r>
                    <m:t>e</m:t>
                  </m:r>
                </m:e>
                <m:sup>
                  <m:r>
                    <m:t>π</m:t>
                  </m:r>
                </m:sup>
              </m:sSup>
            </m:oMath>
          </w:p>
        </w:tc>
      </w:tr>
    </w:tbl>
    <w:p>
      <w:pPr>
        <w:pStyle w:val="Heading1"/>
      </w:pPr>
      <w:bookmarkStart w:id="39" w:name="Xa2c785026cde3335992b27c0a86b6c80edce66e"/>
      <w:r>
        <w:t xml:space="preserve">MarkDown - Možnosti exportu a importu PanDoc</w:t>
      </w:r>
      <w:bookmarkEnd w:id="39"/>
    </w:p>
    <w:p>
      <w:pPr>
        <w:pStyle w:val="FirstParagraph"/>
      </w:pPr>
      <w:r>
        <w:t xml:space="preserve">Možnosti vstupního formátu a výstupního formátu konverzního nástroje PanDoc</w:t>
      </w:r>
      <w:r>
        <w:t xml:space="preserve"> </w:t>
      </w:r>
      <w:r>
        <w:t xml:space="preserve">ukazuje</w:t>
      </w:r>
      <w:r>
        <w:t xml:space="preserve"> </w:t>
      </w:r>
      <w:hyperlink w:anchor="ObrPanDocFormaty">
        <w:r>
          <w:rPr>
            <w:rStyle w:val="Hyperlink"/>
          </w:rPr>
          <w:t xml:space="preserve">obrázek</w:t>
        </w:r>
      </w:hyperlink>
      <w:r>
        <w:t xml:space="preserve">.</w:t>
      </w:r>
    </w:p>
    <w:p>
      <w:pPr>
        <w:pStyle w:val="CaptionedFigure"/>
      </w:pPr>
      <w:bookmarkStart w:id="41" w:name="ObrPanDocFormaty"/>
      <w:r>
        <w:drawing>
          <wp:inline>
            <wp:extent cx="5334000" cy="5989419"/>
            <wp:effectExtent b="0" l="0" r="0" t="0"/>
            <wp:docPr descr="Pan Doc Formáty" title="" id="1" name="Picture"/>
            <a:graphic>
              <a:graphicData uri="http://schemas.openxmlformats.org/drawingml/2006/picture">
                <pic:pic>
                  <pic:nvPicPr>
                    <pic:cNvPr descr="PanDocFormaty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89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1"/>
    </w:p>
    <w:p>
      <w:pPr>
        <w:pStyle w:val="ImageCaption"/>
      </w:pPr>
      <w:r>
        <w:t xml:space="preserve">Pan Doc Formáty</w:t>
      </w:r>
    </w:p>
    <w:p>
      <w:pPr>
        <w:pStyle w:val="Heading1"/>
      </w:pPr>
      <w:bookmarkStart w:id="42" w:name="markdown---vložení-a-odkazování-obrázků"/>
      <w:r>
        <w:t xml:space="preserve">MarkDown - Vložení a odkazování obrázků</w:t>
      </w:r>
      <w:bookmarkEnd w:id="42"/>
    </w:p>
    <w:p>
      <w:pPr>
        <w:pStyle w:val="SourceCode"/>
      </w:pPr>
      <w:r>
        <w:rPr>
          <w:rStyle w:val="VerbatimChar"/>
        </w:rPr>
        <w:t xml:space="preserve">Obrázek v textu: ![Obrázek](PanDocFormaty.jpg)</w:t>
      </w:r>
      <w:r>
        <w:br/>
      </w:r>
      <w:r>
        <w:rPr>
          <w:rStyle w:val="VerbatimChar"/>
        </w:rPr>
        <w:t xml:space="preserve">                 {width=80px height=40px}</w:t>
      </w:r>
    </w:p>
    <w:p>
      <w:pPr>
        <w:pStyle w:val="FirstParagraph"/>
      </w:pPr>
      <w:r>
        <w:t xml:space="preserve">Obrázek v textu:</w:t>
      </w:r>
      <w:r>
        <w:t xml:space="preserve"> </w:t>
      </w:r>
      <w:r>
        <w:drawing>
          <wp:inline>
            <wp:extent cx="762000" cy="381000"/>
            <wp:effectExtent b="0" l="0" r="0" t="0"/>
            <wp:docPr descr="Obrázek" title="" id="1" name="Picture"/>
            <a:graphic>
              <a:graphicData uri="http://schemas.openxmlformats.org/drawingml/2006/picture">
                <pic:pic>
                  <pic:nvPicPr>
                    <pic:cNvPr descr="PanDocFormaty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Automaticky číslovaný obrázek s titulkem mimo text:</w:t>
      </w:r>
    </w:p>
    <w:p>
      <w:pPr>
        <w:pStyle w:val="SourceCode"/>
      </w:pPr>
      <w:r>
        <w:rPr>
          <w:rStyle w:val="VerbatimChar"/>
        </w:rPr>
        <w:t xml:space="preserve">![Obrázek2](PanDocFormaty.jpg)</w:t>
      </w:r>
      <w:r>
        <w:br/>
      </w:r>
      <w:r>
        <w:rPr>
          <w:rStyle w:val="VerbatimChar"/>
        </w:rPr>
        <w:t xml:space="preserve">{#JmenoObrazku2 .class width=80px height=40px}</w:t>
      </w:r>
    </w:p>
    <w:p>
      <w:pPr>
        <w:pStyle w:val="CaptionedFigure"/>
      </w:pPr>
      <w:bookmarkStart w:id="43" w:name="JmenoObrazku2"/>
      <w:r>
        <w:drawing>
          <wp:inline>
            <wp:extent cx="762000" cy="381000"/>
            <wp:effectExtent b="0" l="0" r="0" t="0"/>
            <wp:docPr descr="Obrázek2" title="" id="1" name="Picture"/>
            <a:graphic>
              <a:graphicData uri="http://schemas.openxmlformats.org/drawingml/2006/picture">
                <pic:pic>
                  <pic:nvPicPr>
                    <pic:cNvPr descr="PanDocFormaty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3"/>
    </w:p>
    <w:p>
      <w:pPr>
        <w:pStyle w:val="ImageCaption"/>
      </w:pPr>
      <w:r>
        <w:t xml:space="preserve">Obrázek2</w:t>
      </w:r>
    </w:p>
    <w:p>
      <w:pPr>
        <w:pStyle w:val="SourceCode"/>
      </w:pPr>
      <w:r>
        <w:rPr>
          <w:rStyle w:val="VerbatimChar"/>
        </w:rPr>
        <w:t xml:space="preserve">[Odkaz na obrázek formátů PanDoc](#ObrPanDocFormaty).</w:t>
      </w:r>
    </w:p>
    <w:p>
      <w:pPr>
        <w:pStyle w:val="FirstParagraph"/>
      </w:pPr>
      <w:hyperlink w:anchor="ObrPanDocFormaty">
        <w:r>
          <w:rPr>
            <w:rStyle w:val="Hyperlink"/>
          </w:rPr>
          <w:t xml:space="preserve">Odkaz na obrázek formátů PanDoc</w:t>
        </w:r>
      </w:hyperlink>
      <w:r>
        <w:t xml:space="preserve">.</w:t>
      </w:r>
    </w:p>
    <w:p>
      <w:pPr>
        <w:pStyle w:val="Heading1"/>
      </w:pPr>
      <w:bookmarkStart w:id="44" w:name="X2eee8816a8f468515ce7de9fc38d746051ed065"/>
      <w:r>
        <w:t xml:space="preserve">MarkDown - Možnosti kvalitní reprezentace matematiky</w:t>
      </w:r>
      <w:bookmarkEnd w:id="44"/>
    </w:p>
    <w:p>
      <w:pPr>
        <w:pStyle w:val="FirstParagraph"/>
      </w:pPr>
      <w:r>
        <w:t xml:space="preserve">Vzorce na řádku s textem:</w:t>
      </w:r>
      <w:r>
        <w:t xml:space="preserve"> </w:t>
      </w:r>
      <m:oMath>
        <m:r>
          <m:t>γ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1</m:t>
                </m:r>
                <m:r>
                  <m:t>−</m:t>
                </m:r>
                <m:sSup>
                  <m:e>
                    <m:r>
                      <m:t>v</m:t>
                    </m:r>
                  </m:e>
                  <m:sup>
                    <m:r>
                      <m:t>2</m:t>
                    </m:r>
                  </m:sup>
                </m:sSup>
                <m:r>
                  <m:t>/</m:t>
                </m:r>
                <m:sSup>
                  <m:e>
                    <m:r>
                      <m:t>c</m:t>
                    </m:r>
                  </m:e>
                  <m:sup>
                    <m:r>
                      <m:t>2</m:t>
                    </m:r>
                  </m:sup>
                </m:sSup>
              </m:e>
            </m:rad>
          </m:den>
        </m:f>
      </m:oMath>
      <w:r>
        <w:t xml:space="preserve"> </w:t>
      </w:r>
      <m:oMath>
        <m:r>
          <m:t>∃</m:t>
        </m:r>
        <m:r>
          <m:t>x</m:t>
        </m:r>
        <m:r>
          <m:t>∀</m:t>
        </m:r>
        <m:r>
          <m:t>y</m:t>
        </m:r>
        <m:r>
          <m:t>(</m:t>
        </m:r>
        <m:r>
          <m:t>R</m:t>
        </m:r>
        <m:r>
          <m:t>x</m:t>
        </m:r>
        <m:r>
          <m:t>y</m:t>
        </m:r>
        <m:r>
          <m:t>≡</m:t>
        </m:r>
        <m:r>
          <m:t>R</m:t>
        </m:r>
        <m:r>
          <m:t>y</m:t>
        </m:r>
        <m:r>
          <m:t>x</m:t>
        </m:r>
        <m:r>
          <m:t>)</m:t>
        </m:r>
      </m:oMath>
    </w:p>
    <w:p>
      <w:pPr>
        <w:pStyle w:val="BodyText"/>
      </w:pPr>
      <w:r>
        <w:t xml:space="preserve">Výsledný formát vzorce v textu:</w:t>
      </w:r>
    </w:p>
    <w:p>
      <w:pPr>
        <w:pStyle w:val="SourceCode"/>
      </w:pPr>
      <w:r>
        <w:rPr>
          <w:rStyle w:val="VerbatimChar"/>
        </w:rPr>
        <w:t xml:space="preserve">$e^x = \sum_{n=0}^\infty \frac{x^n}{n!} = </w:t>
      </w:r>
      <w:r>
        <w:br/>
      </w:r>
      <w:r>
        <w:rPr>
          <w:rStyle w:val="VerbatimChar"/>
        </w:rPr>
        <w:t xml:space="preserve">\lim_{n\rightarrow\infty} (1+x/n)^n$`  </w:t>
      </w:r>
    </w:p>
    <w:p>
      <w:pPr>
        <w:pStyle w:val="FirstParagraph"/>
      </w:pPr>
      <m:oMath>
        <m:sSup>
          <m:e>
            <m:r>
              <m:t>e</m:t>
            </m:r>
          </m:e>
          <m:sup>
            <m:r>
              <m:t>x</m:t>
            </m:r>
          </m:sup>
        </m:sSup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n</m:t>
                    </m:r>
                  </m:sup>
                </m:sSup>
              </m:num>
              <m:den>
                <m:r>
                  <m:t>n</m:t>
                </m:r>
                <m:r>
                  <m:t>!</m:t>
                </m:r>
              </m:den>
            </m:f>
          </m:e>
        </m:nary>
        <m:r>
          <m:t>=</m:t>
        </m:r>
        <m:sSub>
          <m:e>
            <m:r>
              <m:rPr>
                <m:nor/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∞</m:t>
            </m:r>
          </m:sub>
        </m:sSub>
        <m:r>
          <m:t>(</m:t>
        </m:r>
        <m:r>
          <m:t>1</m:t>
        </m:r>
        <m:r>
          <m:t>+</m:t>
        </m:r>
        <m:r>
          <m:t>x</m:t>
        </m:r>
        <m:r>
          <m:t>/</m:t>
        </m:r>
        <m:r>
          <m:t>n</m:t>
        </m:r>
        <m:sSup>
          <m:e>
            <m:r>
              <m:t>)</m:t>
            </m:r>
          </m:e>
          <m:sup>
            <m:r>
              <m:t>n</m:t>
            </m:r>
          </m:sup>
        </m:sSup>
      </m:oMath>
    </w:p>
    <w:p>
      <w:pPr>
        <w:pStyle w:val="BodyText"/>
      </w:pPr>
      <w:r>
        <w:t xml:space="preserve">Příklad vzorce mimo text:</w:t>
      </w:r>
    </w:p>
    <w:p>
      <w:pPr>
        <w:pStyle w:val="SourceCode"/>
      </w:pPr>
      <w:r>
        <w:rPr>
          <w:rStyle w:val="VerbatimChar"/>
        </w:rPr>
        <w:t xml:space="preserve">$$ e^x = \sum_{n=0}^\infty \frac{x^n}{n!} = </w:t>
      </w:r>
      <w:r>
        <w:br/>
      </w:r>
      <w:r>
        <w:rPr>
          <w:rStyle w:val="VerbatimChar"/>
        </w:rPr>
        <w:t xml:space="preserve">\lim_{n\rightarrow\infty} (1+x/n)^n $$ </w:t>
      </w:r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e</m:t>
              </m:r>
            </m:e>
            <m:sup>
              <m:r>
                <m:t>x</m:t>
              </m:r>
            </m:sup>
          </m:sSup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n</m:t>
              </m:r>
              <m:r>
                <m:t>=</m:t>
              </m:r>
              <m:r>
                <m:t>0</m:t>
              </m:r>
            </m:sub>
            <m:sup>
              <m:r>
                <m:t>∞</m:t>
              </m:r>
            </m:sup>
            <m:e>
              <m:f>
                <m:fPr>
                  <m:type m:val="bar"/>
                </m:fPr>
                <m:num>
                  <m:sSup>
                    <m:e>
                      <m:r>
                        <m:t>x</m:t>
                      </m:r>
                    </m:e>
                    <m:sup>
                      <m:r>
                        <m:t>n</m:t>
                      </m:r>
                    </m:sup>
                  </m:sSup>
                </m:num>
                <m:den>
                  <m:r>
                    <m:t>n</m:t>
                  </m:r>
                  <m:r>
                    <m:t>!</m:t>
                  </m:r>
                </m:den>
              </m:f>
            </m:e>
          </m:nary>
          <m:r>
            <m:t>=</m:t>
          </m:r>
          <m:limLow>
            <m:e>
              <m:r>
                <m:rPr>
                  <m:nor/>
                  <m:sty m:val="p"/>
                </m:rPr>
                <m:t>lim</m:t>
              </m:r>
            </m:e>
            <m:lim>
              <m:r>
                <m:t>n</m:t>
              </m:r>
              <m:r>
                <m:t>→</m:t>
              </m:r>
              <m:r>
                <m:t>∞</m:t>
              </m:r>
            </m:lim>
          </m:limLow>
          <m:r>
            <m:t>(</m:t>
          </m:r>
          <m:r>
            <m:t>1</m:t>
          </m:r>
          <m:r>
            <m:t>+</m:t>
          </m:r>
          <m:r>
            <m:t>x</m:t>
          </m:r>
          <m:r>
            <m:t>/</m:t>
          </m:r>
          <m:r>
            <m:t>n</m:t>
          </m:r>
          <m:sSup>
            <m:e>
              <m:r>
                <m:t>)</m:t>
              </m:r>
            </m:e>
            <m:sup>
              <m:r>
                <m:t>n</m:t>
              </m:r>
            </m:sup>
          </m:sSup>
        </m:oMath>
      </m:oMathPara>
    </w:p>
    <w:p>
      <w:pPr>
        <w:pStyle w:val="Heading1"/>
      </w:pPr>
      <w:bookmarkStart w:id="45" w:name="X1e519456a0540f8ff1d0e4859bb80e4e6228adf"/>
      <w:r>
        <w:t xml:space="preserve">Křížové odkazy na číslované vztahy komfortně</w:t>
      </w:r>
      <w:bookmarkEnd w:id="45"/>
    </w:p>
    <w:p>
      <w:pPr>
        <w:pStyle w:val="FirstParagraph"/>
      </w:pPr>
      <w:r>
        <w:t xml:space="preserve">Definovat matematiku a titulek takto:</w:t>
      </w:r>
    </w:p>
    <w:p>
      <w:pPr>
        <w:pStyle w:val="SourceCode"/>
      </w:pPr>
      <w:r>
        <w:rPr>
          <w:rStyle w:val="VerbatimChar"/>
        </w:rPr>
        <w:t xml:space="preserve">$$ \frac{1}{2} $$ {#eq:jmenovzorce}</w:t>
      </w:r>
    </w:p>
    <w:p>
      <w:pPr>
        <w:pStyle w:val="FirstParagraph"/>
      </w:pPr>
      <w:bookmarkStart w:id="46" w:name="eq:jmenovzorce"/>
      <m:oMathPara>
        <m:oMathParaPr>
          <m:jc m:val="center"/>
        </m:oMathParaPr>
        <m:oMath>
          <m:f>
            <m:fPr>
              <m:type m:val="bar"/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  </m:t>
          </m:r>
          <m:r>
            <m:t>(</m:t>
          </m:r>
          <m:r>
            <m:t>1</m:t>
          </m:r>
          <m:r>
            <m:t>)</m:t>
          </m:r>
        </m:oMath>
      </m:oMathPara>
      <w:bookmarkEnd w:id="46"/>
    </w:p>
    <w:p>
      <w:pPr>
        <w:pStyle w:val="FirstParagraph"/>
      </w:pPr>
      <w:r>
        <w:t xml:space="preserve">A odkazovat na následující vzorec takto:</w:t>
      </w:r>
      <w:r>
        <w:t xml:space="preserve"> </w:t>
      </w:r>
      <w:r>
        <w:rPr>
          <w:rStyle w:val="VerbatimChar"/>
        </w:rPr>
        <w:t xml:space="preserve">[@eq:titulek2]</w:t>
      </w:r>
      <w:r>
        <w:t xml:space="preserve"> </w:t>
      </w:r>
      <w:r>
        <w:t xml:space="preserve">eq. 2</w:t>
      </w:r>
    </w:p>
    <w:p>
      <w:pPr>
        <w:pStyle w:val="Heading1"/>
      </w:pPr>
      <w:bookmarkStart w:id="47" w:name="Xb38727affc49cf758e504db838397092f0a520a"/>
      <w:r>
        <w:t xml:space="preserve">Křížové odkazy na číslované vztahy komfortně 2</w:t>
      </w:r>
      <w:bookmarkEnd w:id="47"/>
    </w:p>
    <w:p>
      <w:pPr>
        <w:pStyle w:val="FirstParagraph"/>
      </w:pPr>
      <w:r>
        <w:t xml:space="preserve">Jiná matematika:</w:t>
      </w:r>
    </w:p>
    <w:p>
      <w:pPr>
        <w:pStyle w:val="SourceCode"/>
      </w:pPr>
      <w:r>
        <w:rPr>
          <w:rStyle w:val="VerbatimChar"/>
        </w:rPr>
        <w:t xml:space="preserve">$$ a^2 + b^2 = c^2 $$ {#eq:titulek2}</w:t>
      </w:r>
    </w:p>
    <w:p>
      <w:pPr>
        <w:pStyle w:val="FirstParagraph"/>
      </w:pPr>
      <w:bookmarkStart w:id="48" w:name="eq:titulek2"/>
      <m:oMathPara>
        <m:oMathParaPr>
          <m:jc m:val="center"/>
        </m:oMathParaPr>
        <m:oMath>
          <m:sSup>
            <m:e>
              <m:r>
                <m:t>a</m:t>
              </m:r>
            </m:e>
            <m:sup>
              <m:r>
                <m:t>2</m:t>
              </m:r>
            </m:sup>
          </m:sSup>
          <m:r>
            <m:t>+</m:t>
          </m:r>
          <m:sSup>
            <m:e>
              <m:r>
                <m:t>b</m:t>
              </m:r>
            </m:e>
            <m:sup>
              <m:r>
                <m:t>2</m:t>
              </m:r>
            </m:sup>
          </m:sSup>
          <m:r>
            <m:t>=</m:t>
          </m:r>
          <m:sSup>
            <m:e>
              <m:r>
                <m:t>c</m:t>
              </m:r>
            </m:e>
            <m:sup>
              <m:r>
                <m:t>2</m:t>
              </m:r>
            </m:sup>
          </m:sSup>
          <m:r>
            <m:t>  </m:t>
          </m:r>
          <m:r>
            <m:t>(</m:t>
          </m:r>
          <m:r>
            <m:t>2</m:t>
          </m:r>
          <m:r>
            <m:t>)</m:t>
          </m:r>
        </m:oMath>
      </m:oMathPara>
      <w:bookmarkEnd w:id="48"/>
    </w:p>
    <w:p>
      <w:pPr>
        <w:pStyle w:val="FirstParagraph"/>
      </w:pPr>
      <w:r>
        <w:t xml:space="preserve">A odkaz na první vzorec:</w:t>
      </w:r>
      <w:r>
        <w:t xml:space="preserve"> </w:t>
      </w:r>
      <w:r>
        <w:rPr>
          <w:rStyle w:val="VerbatimChar"/>
        </w:rPr>
        <w:t xml:space="preserve">[@eq:jmenovzorce]</w:t>
      </w:r>
      <w:r>
        <w:t xml:space="preserve"> </w:t>
      </w:r>
      <w:r>
        <w:t xml:space="preserve">eq. 1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Novinky a možnosti využití IT v energetice</dc:title>
  <dc:creator>Karel Noháč</dc:creator>
  <dc:language>cs</dc:language>
  <cp:keywords>IT, ICT, energetika, elektroenergetika</cp:keywords>
  <dcterms:created xsi:type="dcterms:W3CDTF">2020-02-09T16:19:42Z</dcterms:created>
  <dcterms:modified xsi:type="dcterms:W3CDTF">2020-02-09T16:19:42Z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EqnLabels">
    <vt:lpwstr>False</vt:lpwstr>
  </property>
  <property fmtid="{D5CDD505-2E9C-101B-9397-08002B2CF9AE}" pid="3" name="autoSectionLabels">
    <vt:lpwstr>False</vt:lpwstr>
  </property>
  <property fmtid="{D5CDD505-2E9C-101B-9397-08002B2CF9AE}" pid="4" name="ccsDelim">
    <vt:lpwstr>, </vt:lpwstr>
  </property>
  <property fmtid="{D5CDD505-2E9C-101B-9397-08002B2CF9AE}" pid="5" name="ccsLabelSep">
    <vt:lpwstr> — </vt:lpwstr>
  </property>
  <property fmtid="{D5CDD505-2E9C-101B-9397-08002B2CF9AE}" pid="6" name="ccsTemplate">
    <vt:lpwstr>iccsLabelSept</vt:lpwstr>
  </property>
  <property fmtid="{D5CDD505-2E9C-101B-9397-08002B2CF9AE}" pid="7" name="chapDelim">
    <vt:lpwstr>.</vt:lpwstr>
  </property>
  <property fmtid="{D5CDD505-2E9C-101B-9397-08002B2CF9AE}" pid="8" name="chapters">
    <vt:lpwstr>False</vt:lpwstr>
  </property>
  <property fmtid="{D5CDD505-2E9C-101B-9397-08002B2CF9AE}" pid="9" name="chaptersDepth">
    <vt:lpwstr>1</vt:lpwstr>
  </property>
  <property fmtid="{D5CDD505-2E9C-101B-9397-08002B2CF9AE}" pid="10" name="codeBlockCaptions">
    <vt:lpwstr>False</vt:lpwstr>
  </property>
  <property fmtid="{D5CDD505-2E9C-101B-9397-08002B2CF9AE}" pid="11" name="cref">
    <vt:lpwstr>False</vt:lpwstr>
  </property>
  <property fmtid="{D5CDD505-2E9C-101B-9397-08002B2CF9AE}" pid="12" name="crossrefYaml">
    <vt:lpwstr>pandoc-crossref.yaml</vt:lpwstr>
  </property>
  <property fmtid="{D5CDD505-2E9C-101B-9397-08002B2CF9AE}" pid="13" name="date">
    <vt:lpwstr>Leden 2020</vt:lpwstr>
  </property>
  <property fmtid="{D5CDD505-2E9C-101B-9397-08002B2CF9AE}" pid="14" name="eqLabels">
    <vt:lpwstr>arabic</vt:lpwstr>
  </property>
  <property fmtid="{D5CDD505-2E9C-101B-9397-08002B2CF9AE}" pid="15" name="eqnPrefix">
    <vt:lpwstr/>
  </property>
  <property fmtid="{D5CDD505-2E9C-101B-9397-08002B2CF9AE}" pid="16" name="eqnPrefixTemplate">
    <vt:lpwstr>p i</vt:lpwstr>
  </property>
  <property fmtid="{D5CDD505-2E9C-101B-9397-08002B2CF9AE}" pid="17" name="figLabels">
    <vt:lpwstr>arabic</vt:lpwstr>
  </property>
  <property fmtid="{D5CDD505-2E9C-101B-9397-08002B2CF9AE}" pid="18" name="figPrefix">
    <vt:lpwstr/>
  </property>
  <property fmtid="{D5CDD505-2E9C-101B-9397-08002B2CF9AE}" pid="19" name="figPrefixTemplate">
    <vt:lpwstr>p i</vt:lpwstr>
  </property>
  <property fmtid="{D5CDD505-2E9C-101B-9397-08002B2CF9AE}" pid="20" name="figureTemplate">
    <vt:lpwstr>figureTitle ititleDelim t</vt:lpwstr>
  </property>
  <property fmtid="{D5CDD505-2E9C-101B-9397-08002B2CF9AE}" pid="21" name="figureTitle">
    <vt:lpwstr>Figure</vt:lpwstr>
  </property>
  <property fmtid="{D5CDD505-2E9C-101B-9397-08002B2CF9AE}" pid="22" name="lastDelim">
    <vt:lpwstr>, </vt:lpwstr>
  </property>
  <property fmtid="{D5CDD505-2E9C-101B-9397-08002B2CF9AE}" pid="23" name="linkReferences">
    <vt:lpwstr>False</vt:lpwstr>
  </property>
  <property fmtid="{D5CDD505-2E9C-101B-9397-08002B2CF9AE}" pid="24" name="listingTemplate">
    <vt:lpwstr>listingTitle ititleDelim t</vt:lpwstr>
  </property>
  <property fmtid="{D5CDD505-2E9C-101B-9397-08002B2CF9AE}" pid="25" name="listingTitle">
    <vt:lpwstr>Listing</vt:lpwstr>
  </property>
  <property fmtid="{D5CDD505-2E9C-101B-9397-08002B2CF9AE}" pid="26" name="listings">
    <vt:lpwstr>False</vt:lpwstr>
  </property>
  <property fmtid="{D5CDD505-2E9C-101B-9397-08002B2CF9AE}" pid="27" name="lofTitle">
    <vt:lpwstr>List of Figures</vt:lpwstr>
  </property>
  <property fmtid="{D5CDD505-2E9C-101B-9397-08002B2CF9AE}" pid="28" name="lolTitle">
    <vt:lpwstr>List of Listings</vt:lpwstr>
  </property>
  <property fmtid="{D5CDD505-2E9C-101B-9397-08002B2CF9AE}" pid="29" name="lotTitle">
    <vt:lpwstr>List of Tables</vt:lpwstr>
  </property>
  <property fmtid="{D5CDD505-2E9C-101B-9397-08002B2CF9AE}" pid="30" name="lstLabels">
    <vt:lpwstr>arabic</vt:lpwstr>
  </property>
  <property fmtid="{D5CDD505-2E9C-101B-9397-08002B2CF9AE}" pid="31" name="lstPrefix">
    <vt:lpwstr/>
  </property>
  <property fmtid="{D5CDD505-2E9C-101B-9397-08002B2CF9AE}" pid="32" name="lstPrefixTemplate">
    <vt:lpwstr>p i</vt:lpwstr>
  </property>
  <property fmtid="{D5CDD505-2E9C-101B-9397-08002B2CF9AE}" pid="33" name="nameInLink">
    <vt:lpwstr>False</vt:lpwstr>
  </property>
  <property fmtid="{D5CDD505-2E9C-101B-9397-08002B2CF9AE}" pid="34" name="numberSections">
    <vt:lpwstr>False</vt:lpwstr>
  </property>
  <property fmtid="{D5CDD505-2E9C-101B-9397-08002B2CF9AE}" pid="35" name="pairDelim">
    <vt:lpwstr>, </vt:lpwstr>
  </property>
  <property fmtid="{D5CDD505-2E9C-101B-9397-08002B2CF9AE}" pid="36" name="rangeDelim">
    <vt:lpwstr>-</vt:lpwstr>
  </property>
  <property fmtid="{D5CDD505-2E9C-101B-9397-08002B2CF9AE}" pid="37" name="refDelim">
    <vt:lpwstr>, </vt:lpwstr>
  </property>
  <property fmtid="{D5CDD505-2E9C-101B-9397-08002B2CF9AE}" pid="38" name="refIndexTemplate">
    <vt:lpwstr>isuf</vt:lpwstr>
  </property>
  <property fmtid="{D5CDD505-2E9C-101B-9397-08002B2CF9AE}" pid="39" name="secHeaderDelim">
    <vt:lpwstr> </vt:lpwstr>
  </property>
  <property fmtid="{D5CDD505-2E9C-101B-9397-08002B2CF9AE}" pid="40" name="secHeaderTemplate">
    <vt:lpwstr>isecHeaderDelimt</vt:lpwstr>
  </property>
  <property fmtid="{D5CDD505-2E9C-101B-9397-08002B2CF9AE}" pid="41" name="secLabels">
    <vt:lpwstr>arabic</vt:lpwstr>
  </property>
  <property fmtid="{D5CDD505-2E9C-101B-9397-08002B2CF9AE}" pid="42" name="secPrefix">
    <vt:lpwstr/>
  </property>
  <property fmtid="{D5CDD505-2E9C-101B-9397-08002B2CF9AE}" pid="43" name="secPrefixTemplate">
    <vt:lpwstr>p i</vt:lpwstr>
  </property>
  <property fmtid="{D5CDD505-2E9C-101B-9397-08002B2CF9AE}" pid="44" name="sectionsDepth">
    <vt:lpwstr>0</vt:lpwstr>
  </property>
  <property fmtid="{D5CDD505-2E9C-101B-9397-08002B2CF9AE}" pid="45" name="subfigGrid">
    <vt:lpwstr>False</vt:lpwstr>
  </property>
  <property fmtid="{D5CDD505-2E9C-101B-9397-08002B2CF9AE}" pid="46" name="subfigLabels">
    <vt:lpwstr>alpha a</vt:lpwstr>
  </property>
  <property fmtid="{D5CDD505-2E9C-101B-9397-08002B2CF9AE}" pid="47" name="subfigureChildTemplate">
    <vt:lpwstr>i</vt:lpwstr>
  </property>
  <property fmtid="{D5CDD505-2E9C-101B-9397-08002B2CF9AE}" pid="48" name="subfigureRefIndexTemplate">
    <vt:lpwstr>isuf (s)</vt:lpwstr>
  </property>
  <property fmtid="{D5CDD505-2E9C-101B-9397-08002B2CF9AE}" pid="49" name="subfigureTemplate">
    <vt:lpwstr>figureTitle ititleDelim t. ccs</vt:lpwstr>
  </property>
  <property fmtid="{D5CDD505-2E9C-101B-9397-08002B2CF9AE}" pid="50" name="tableEqns">
    <vt:lpwstr>False</vt:lpwstr>
  </property>
  <property fmtid="{D5CDD505-2E9C-101B-9397-08002B2CF9AE}" pid="51" name="tableTemplate">
    <vt:lpwstr>tableTitle ititleDelim t</vt:lpwstr>
  </property>
  <property fmtid="{D5CDD505-2E9C-101B-9397-08002B2CF9AE}" pid="52" name="tableTitle">
    <vt:lpwstr>Table</vt:lpwstr>
  </property>
  <property fmtid="{D5CDD505-2E9C-101B-9397-08002B2CF9AE}" pid="53" name="tblLabels">
    <vt:lpwstr>arabic</vt:lpwstr>
  </property>
  <property fmtid="{D5CDD505-2E9C-101B-9397-08002B2CF9AE}" pid="54" name="tblPrefix">
    <vt:lpwstr/>
  </property>
  <property fmtid="{D5CDD505-2E9C-101B-9397-08002B2CF9AE}" pid="55" name="tblPrefixTemplate">
    <vt:lpwstr>p i</vt:lpwstr>
  </property>
  <property fmtid="{D5CDD505-2E9C-101B-9397-08002B2CF9AE}" pid="56" name="titleDelim">
    <vt:lpwstr>:</vt:lpwstr>
  </property>
</Properties>
</file>